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4DA5" w:rsidRDefault="0014380D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4077334</wp:posOffset>
            </wp:positionH>
            <wp:positionV relativeFrom="page">
              <wp:posOffset>312420</wp:posOffset>
            </wp:positionV>
            <wp:extent cx="1663115" cy="941436"/>
            <wp:effectExtent l="0" t="0" r="0" b="0"/>
            <wp:wrapSquare wrapText="bothSides" distT="0" distB="0" distL="0" distR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BLOGO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15" cy="941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14DA5" w:rsidRDefault="0014380D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535353"/>
          <w:sz w:val="28"/>
          <w:szCs w:val="28"/>
          <w:u w:color="535353"/>
        </w:rPr>
        <w:t>Bası</w:t>
      </w:r>
      <w:r>
        <w:rPr>
          <w:rFonts w:ascii="Arial" w:hAnsi="Arial"/>
          <w:color w:val="535353"/>
          <w:sz w:val="28"/>
          <w:szCs w:val="28"/>
          <w:u w:color="535353"/>
          <w:lang w:val="de-DE"/>
        </w:rPr>
        <w:t>n B</w:t>
      </w:r>
      <w:proofErr w:type="spellStart"/>
      <w:r>
        <w:rPr>
          <w:rFonts w:ascii="Arial" w:hAnsi="Arial"/>
          <w:color w:val="535353"/>
          <w:sz w:val="28"/>
          <w:szCs w:val="28"/>
          <w:u w:color="535353"/>
        </w:rPr>
        <w:t>ülteni</w:t>
      </w:r>
      <w:proofErr w:type="spellEnd"/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:rsidR="00C14DA5" w:rsidRDefault="00C14DA5">
      <w:pPr>
        <w:pStyle w:val="Header"/>
        <w:tabs>
          <w:tab w:val="clear" w:pos="9072"/>
          <w:tab w:val="right" w:pos="9046"/>
        </w:tabs>
        <w:rPr>
          <w:rFonts w:ascii="Arial" w:eastAsia="Arial" w:hAnsi="Arial" w:cs="Arial"/>
          <w:sz w:val="28"/>
          <w:szCs w:val="28"/>
        </w:rPr>
      </w:pPr>
    </w:p>
    <w:p w:rsidR="00C14DA5" w:rsidRDefault="00BF7D8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04</w:t>
      </w:r>
      <w:r w:rsidR="0014380D">
        <w:rPr>
          <w:rFonts w:ascii="Arial" w:hAnsi="Arial"/>
          <w:sz w:val="22"/>
          <w:szCs w:val="22"/>
        </w:rPr>
        <w:t xml:space="preserve"> Aralık 2018</w:t>
      </w:r>
    </w:p>
    <w:p w:rsidR="00C14DA5" w:rsidRDefault="00C14DA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</w:p>
    <w:p w:rsidR="00C14DA5" w:rsidRDefault="0014380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48"/>
          <w:szCs w:val="48"/>
        </w:rPr>
      </w:pPr>
      <w:r>
        <w:rPr>
          <w:rFonts w:ascii="Arial" w:hAnsi="Arial"/>
          <w:sz w:val="48"/>
          <w:szCs w:val="48"/>
          <w:lang w:val="fr-FR"/>
        </w:rPr>
        <w:t>Villeroy&amp;Boch</w:t>
      </w:r>
      <w:r>
        <w:rPr>
          <w:rFonts w:ascii="Arial" w:hAnsi="Arial"/>
          <w:sz w:val="48"/>
          <w:szCs w:val="48"/>
        </w:rPr>
        <w:t>’tan banyoyu yaşamla buluşturan renkler</w:t>
      </w:r>
    </w:p>
    <w:p w:rsidR="00C14DA5" w:rsidRDefault="00C14DA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48"/>
          <w:szCs w:val="48"/>
        </w:rPr>
      </w:pPr>
    </w:p>
    <w:p w:rsidR="00C14DA5" w:rsidRDefault="006052F2" w:rsidP="001051F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6A460513" wp14:editId="0DA5FBF7">
            <wp:extent cx="3016250" cy="218949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9369" cy="219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6396" w:rsidRPr="001051FD" w:rsidRDefault="00576396" w:rsidP="001051F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sz w:val="48"/>
          <w:szCs w:val="48"/>
        </w:rPr>
        <w:t xml:space="preserve"> </w:t>
      </w:r>
    </w:p>
    <w:p w:rsidR="00C14DA5" w:rsidRDefault="0014380D" w:rsidP="00722C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i/>
          <w:iCs/>
          <w:sz w:val="27"/>
          <w:szCs w:val="27"/>
        </w:rPr>
      </w:pPr>
      <w:r w:rsidRPr="00722C86">
        <w:rPr>
          <w:rFonts w:ascii="Arial" w:hAnsi="Arial"/>
          <w:i/>
          <w:iCs/>
          <w:sz w:val="27"/>
          <w:szCs w:val="27"/>
        </w:rPr>
        <w:t xml:space="preserve">Baharın tazeliği, yazın sıcaklığı, sonbaharın romantizmi, kışın dalgınlığı… Dört mevsimin Paris’teki renk yansımaları, </w:t>
      </w:r>
      <w:proofErr w:type="spellStart"/>
      <w:r w:rsidRPr="00722C86">
        <w:rPr>
          <w:rFonts w:ascii="Arial" w:hAnsi="Arial"/>
          <w:i/>
          <w:iCs/>
          <w:sz w:val="27"/>
          <w:szCs w:val="27"/>
        </w:rPr>
        <w:t>Villeroy&amp;Boch’un</w:t>
      </w:r>
      <w:proofErr w:type="spellEnd"/>
      <w:r w:rsidRPr="00722C86">
        <w:rPr>
          <w:rFonts w:ascii="Arial" w:hAnsi="Arial"/>
          <w:i/>
          <w:iCs/>
          <w:sz w:val="27"/>
          <w:szCs w:val="27"/>
        </w:rPr>
        <w:t xml:space="preserve"> </w:t>
      </w:r>
      <w:proofErr w:type="spellStart"/>
      <w:r w:rsidRPr="00722C86">
        <w:rPr>
          <w:rFonts w:ascii="Arial" w:hAnsi="Arial"/>
          <w:i/>
          <w:iCs/>
          <w:sz w:val="27"/>
          <w:szCs w:val="27"/>
        </w:rPr>
        <w:t>Artis</w:t>
      </w:r>
      <w:proofErr w:type="spellEnd"/>
      <w:r w:rsidRPr="00722C86">
        <w:rPr>
          <w:rFonts w:ascii="Arial" w:hAnsi="Arial"/>
          <w:i/>
          <w:iCs/>
          <w:sz w:val="27"/>
          <w:szCs w:val="27"/>
        </w:rPr>
        <w:t xml:space="preserve"> koleksiyonunda hayat buluyor.</w:t>
      </w:r>
    </w:p>
    <w:p w:rsidR="001051FD" w:rsidRPr="001051FD" w:rsidRDefault="001051FD" w:rsidP="00722C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i/>
          <w:iCs/>
          <w:sz w:val="27"/>
          <w:szCs w:val="27"/>
        </w:rPr>
      </w:pPr>
    </w:p>
    <w:p w:rsidR="00C14DA5" w:rsidRPr="00722C86" w:rsidRDefault="0014380D" w:rsidP="00722C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2"/>
          <w:szCs w:val="22"/>
        </w:rPr>
      </w:pPr>
      <w:r w:rsidRPr="00722C86">
        <w:rPr>
          <w:rFonts w:ascii="Arial" w:hAnsi="Arial"/>
          <w:sz w:val="22"/>
          <w:szCs w:val="22"/>
        </w:rPr>
        <w:t xml:space="preserve">Tasarımcı </w:t>
      </w:r>
      <w:proofErr w:type="spellStart"/>
      <w:r w:rsidRPr="00722C86">
        <w:rPr>
          <w:rFonts w:ascii="Arial" w:hAnsi="Arial"/>
          <w:sz w:val="22"/>
          <w:szCs w:val="22"/>
        </w:rPr>
        <w:t>Gesa</w:t>
      </w:r>
      <w:proofErr w:type="spellEnd"/>
      <w:r w:rsidRPr="00722C86">
        <w:rPr>
          <w:rFonts w:ascii="Arial" w:hAnsi="Arial"/>
          <w:sz w:val="22"/>
          <w:szCs w:val="22"/>
        </w:rPr>
        <w:t xml:space="preserve"> </w:t>
      </w:r>
      <w:proofErr w:type="spellStart"/>
      <w:r w:rsidRPr="00722C86">
        <w:rPr>
          <w:rFonts w:ascii="Arial" w:hAnsi="Arial"/>
          <w:sz w:val="22"/>
          <w:szCs w:val="22"/>
        </w:rPr>
        <w:t>Hansen</w:t>
      </w:r>
      <w:proofErr w:type="spellEnd"/>
      <w:r w:rsidRPr="00722C86">
        <w:rPr>
          <w:rFonts w:ascii="Arial" w:hAnsi="Arial"/>
          <w:sz w:val="22"/>
          <w:szCs w:val="22"/>
        </w:rPr>
        <w:t xml:space="preserve">, 4 mevsimin Paris’teki renk yansımalarından esinlenerek, Villeroy&amp;Boch için </w:t>
      </w:r>
      <w:proofErr w:type="spellStart"/>
      <w:r w:rsidRPr="00722C86">
        <w:rPr>
          <w:rFonts w:ascii="Arial" w:hAnsi="Arial"/>
          <w:sz w:val="22"/>
          <w:szCs w:val="22"/>
        </w:rPr>
        <w:t>Artis</w:t>
      </w:r>
      <w:proofErr w:type="spellEnd"/>
      <w:r w:rsidRPr="00722C86">
        <w:rPr>
          <w:rFonts w:ascii="Arial" w:hAnsi="Arial"/>
          <w:sz w:val="22"/>
          <w:szCs w:val="22"/>
        </w:rPr>
        <w:t xml:space="preserve"> koleksiyonunu tasarladı. İlkbaharın yeşil, yazın sarı, sonbaharın pembe, kışın ise mavi ile sembolize edildiği koleksiyonda, zamansız tasarımların temsilcisi siyah ve beyazın tonları da yer alıyor. </w:t>
      </w:r>
      <w:proofErr w:type="spellStart"/>
      <w:r w:rsidRPr="00722C86">
        <w:rPr>
          <w:rFonts w:ascii="Arial" w:hAnsi="Arial"/>
          <w:sz w:val="22"/>
          <w:szCs w:val="22"/>
        </w:rPr>
        <w:t>Villeroy&amp;Boch’un</w:t>
      </w:r>
      <w:proofErr w:type="spellEnd"/>
      <w:r w:rsidRPr="00722C86">
        <w:rPr>
          <w:rFonts w:ascii="Arial" w:hAnsi="Arial"/>
          <w:sz w:val="22"/>
          <w:szCs w:val="22"/>
        </w:rPr>
        <w:t xml:space="preserve"> özel koleksiyonları arasında yer alan </w:t>
      </w:r>
      <w:proofErr w:type="spellStart"/>
      <w:r w:rsidRPr="00722C86">
        <w:rPr>
          <w:rFonts w:ascii="Arial" w:hAnsi="Arial"/>
          <w:sz w:val="22"/>
          <w:szCs w:val="22"/>
        </w:rPr>
        <w:t>Artis’in</w:t>
      </w:r>
      <w:proofErr w:type="spellEnd"/>
      <w:r w:rsidRPr="00722C86">
        <w:rPr>
          <w:rFonts w:ascii="Arial" w:hAnsi="Arial"/>
          <w:sz w:val="22"/>
          <w:szCs w:val="22"/>
        </w:rPr>
        <w:t xml:space="preserve"> tasarımcısı </w:t>
      </w:r>
      <w:proofErr w:type="spellStart"/>
      <w:r w:rsidRPr="00722C86">
        <w:rPr>
          <w:rFonts w:ascii="Arial" w:hAnsi="Arial"/>
          <w:sz w:val="22"/>
          <w:szCs w:val="22"/>
        </w:rPr>
        <w:t>Hansen</w:t>
      </w:r>
      <w:proofErr w:type="spellEnd"/>
      <w:r w:rsidRPr="00722C86">
        <w:rPr>
          <w:rFonts w:ascii="Arial" w:hAnsi="Arial"/>
          <w:sz w:val="22"/>
          <w:szCs w:val="22"/>
        </w:rPr>
        <w:t xml:space="preserve">, koleksiyona hayat veren renkleri, “Sarı ferahlatıcıdır. Mavi ve yeşil rahatlama sağlar. Pembe ise </w:t>
      </w:r>
      <w:proofErr w:type="gramStart"/>
      <w:r w:rsidRPr="00722C86">
        <w:rPr>
          <w:rFonts w:ascii="Arial" w:hAnsi="Arial"/>
          <w:sz w:val="22"/>
          <w:szCs w:val="22"/>
        </w:rPr>
        <w:t>trendlere</w:t>
      </w:r>
      <w:proofErr w:type="gramEnd"/>
      <w:r w:rsidRPr="00722C86">
        <w:rPr>
          <w:rFonts w:ascii="Arial" w:hAnsi="Arial"/>
          <w:sz w:val="22"/>
          <w:szCs w:val="22"/>
        </w:rPr>
        <w:t xml:space="preserve"> açıktır ve banyoya yumuşak, sade bir atmosfer getirir” şeklinde yorumluyor.</w:t>
      </w:r>
    </w:p>
    <w:p w:rsidR="00C14DA5" w:rsidRPr="00722C86" w:rsidRDefault="00C14DA5" w:rsidP="00722C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2"/>
          <w:szCs w:val="22"/>
        </w:rPr>
      </w:pPr>
    </w:p>
    <w:p w:rsidR="00C14DA5" w:rsidRPr="00722C86" w:rsidRDefault="0014380D" w:rsidP="00722C86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proofErr w:type="spellStart"/>
      <w:r w:rsidRPr="00722C86">
        <w:rPr>
          <w:rFonts w:ascii="Arial" w:hAnsi="Arial"/>
          <w:sz w:val="22"/>
          <w:szCs w:val="22"/>
        </w:rPr>
        <w:t>Artis</w:t>
      </w:r>
      <w:proofErr w:type="spellEnd"/>
      <w:r w:rsidRPr="00722C86">
        <w:rPr>
          <w:rFonts w:ascii="Arial" w:hAnsi="Arial"/>
          <w:sz w:val="22"/>
          <w:szCs w:val="22"/>
        </w:rPr>
        <w:t xml:space="preserve"> koleksiyonundaki lavabolar, ipeksi mat bir sırla kaplı dış yüzeyiyle farklılaşıyor, 18 renk seçeneğiyle tasarım özgürlüğü sunuyor. </w:t>
      </w:r>
      <w:proofErr w:type="spellStart"/>
      <w:r w:rsidRPr="00722C86">
        <w:rPr>
          <w:rFonts w:ascii="Arial" w:hAnsi="Arial"/>
          <w:sz w:val="22"/>
          <w:szCs w:val="22"/>
        </w:rPr>
        <w:t>Villeroy&amp;Boch’un</w:t>
      </w:r>
      <w:proofErr w:type="spellEnd"/>
      <w:r w:rsidRPr="00722C86">
        <w:rPr>
          <w:rFonts w:ascii="Arial" w:hAnsi="Arial"/>
          <w:sz w:val="22"/>
          <w:szCs w:val="22"/>
        </w:rPr>
        <w:t xml:space="preserve"> yenilikçi seramik malzemesi </w:t>
      </w:r>
      <w:proofErr w:type="spellStart"/>
      <w:r w:rsidRPr="00722C86">
        <w:rPr>
          <w:rFonts w:ascii="Arial" w:hAnsi="Arial"/>
          <w:i/>
          <w:iCs/>
          <w:sz w:val="22"/>
          <w:szCs w:val="22"/>
        </w:rPr>
        <w:t>TitanCeram</w:t>
      </w:r>
      <w:r w:rsidRPr="00722C86">
        <w:rPr>
          <w:rFonts w:ascii="Arial" w:hAnsi="Arial"/>
          <w:sz w:val="22"/>
          <w:szCs w:val="22"/>
        </w:rPr>
        <w:t>’dan</w:t>
      </w:r>
      <w:proofErr w:type="spellEnd"/>
      <w:r w:rsidRPr="00722C86">
        <w:rPr>
          <w:rFonts w:ascii="Arial" w:hAnsi="Arial"/>
          <w:sz w:val="22"/>
          <w:szCs w:val="22"/>
        </w:rPr>
        <w:t xml:space="preserve"> üretilen 8 mm kalınlığındaki </w:t>
      </w:r>
      <w:proofErr w:type="gramStart"/>
      <w:r w:rsidRPr="00722C86">
        <w:rPr>
          <w:rFonts w:ascii="Arial" w:hAnsi="Arial"/>
          <w:sz w:val="22"/>
          <w:szCs w:val="22"/>
        </w:rPr>
        <w:t>tezgah</w:t>
      </w:r>
      <w:proofErr w:type="gramEnd"/>
      <w:r w:rsidRPr="00722C86">
        <w:rPr>
          <w:rFonts w:ascii="Arial" w:hAnsi="Arial"/>
          <w:sz w:val="22"/>
          <w:szCs w:val="22"/>
        </w:rPr>
        <w:t xml:space="preserve"> üstü lavabolar, inceliğin sınırlarını zorluyor. Yuvarlak, oval, kare ve dikdörtgen formlu lavaboların ince duvarları, banyolara zamansız ve modern bir </w:t>
      </w:r>
      <w:proofErr w:type="gramStart"/>
      <w:r w:rsidRPr="00722C86">
        <w:rPr>
          <w:rFonts w:ascii="Arial" w:hAnsi="Arial"/>
          <w:sz w:val="22"/>
          <w:szCs w:val="22"/>
        </w:rPr>
        <w:t>ambiyans</w:t>
      </w:r>
      <w:proofErr w:type="gramEnd"/>
      <w:r w:rsidRPr="00722C86">
        <w:rPr>
          <w:rFonts w:ascii="Arial" w:hAnsi="Arial"/>
          <w:sz w:val="22"/>
          <w:szCs w:val="22"/>
        </w:rPr>
        <w:t xml:space="preserve"> kazandırıyor.</w:t>
      </w:r>
    </w:p>
    <w:sectPr w:rsidR="00C14DA5" w:rsidRPr="00722C8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F74" w:rsidRDefault="0014380D">
      <w:r>
        <w:separator/>
      </w:r>
    </w:p>
  </w:endnote>
  <w:endnote w:type="continuationSeparator" w:id="0">
    <w:p w:rsidR="00203F74" w:rsidRDefault="0014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A5" w:rsidRDefault="0014380D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Eczacıbaşı Yapı Ürünleri Grubu | İletişim Ekibi</w:t>
    </w:r>
  </w:p>
  <w:p w:rsidR="00C14DA5" w:rsidRDefault="0014380D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Büyükdere </w:t>
    </w:r>
    <w:proofErr w:type="spellStart"/>
    <w:r>
      <w:rPr>
        <w:rFonts w:ascii="Arial" w:hAnsi="Arial"/>
        <w:sz w:val="16"/>
        <w:szCs w:val="16"/>
      </w:rPr>
      <w:t>Cd</w:t>
    </w:r>
    <w:proofErr w:type="spellEnd"/>
    <w:r>
      <w:rPr>
        <w:rFonts w:ascii="Arial" w:hAnsi="Arial"/>
        <w:sz w:val="16"/>
        <w:szCs w:val="16"/>
      </w:rPr>
      <w:t xml:space="preserve">. Ali Kaya </w:t>
    </w:r>
    <w:proofErr w:type="spellStart"/>
    <w:r>
      <w:rPr>
        <w:rFonts w:ascii="Arial" w:hAnsi="Arial"/>
        <w:sz w:val="16"/>
        <w:szCs w:val="16"/>
      </w:rPr>
      <w:t>Sk</w:t>
    </w:r>
    <w:proofErr w:type="spellEnd"/>
    <w:r>
      <w:rPr>
        <w:rFonts w:ascii="Arial" w:hAnsi="Arial"/>
        <w:sz w:val="16"/>
        <w:szCs w:val="16"/>
      </w:rPr>
      <w:t xml:space="preserve">. No:7 </w:t>
    </w:r>
    <w:r>
      <w:rPr>
        <w:rFonts w:ascii="Arial" w:hAnsi="Arial"/>
        <w:sz w:val="16"/>
        <w:szCs w:val="16"/>
        <w:lang w:val="fr-FR"/>
      </w:rPr>
      <w:t xml:space="preserve">Levent 34394 </w:t>
    </w:r>
    <w:r>
      <w:rPr>
        <w:rFonts w:ascii="Arial" w:hAnsi="Arial"/>
        <w:sz w:val="16"/>
        <w:szCs w:val="16"/>
      </w:rPr>
      <w:t>İstanbul</w:t>
    </w:r>
  </w:p>
  <w:p w:rsidR="00C14DA5" w:rsidRDefault="0014380D">
    <w:pPr>
      <w:pStyle w:val="Defaul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66"/>
      </w:tabs>
      <w:jc w:val="center"/>
    </w:pPr>
    <w:r>
      <w:rPr>
        <w:rFonts w:ascii="Arial" w:hAnsi="Arial"/>
        <w:color w:val="0432FF"/>
        <w:sz w:val="16"/>
        <w:szCs w:val="16"/>
        <w:u w:val="single"/>
      </w:rPr>
      <w:t>villeroy.boch@eczacibasi.com.tr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F74" w:rsidRDefault="0014380D">
      <w:r>
        <w:separator/>
      </w:r>
    </w:p>
  </w:footnote>
  <w:footnote w:type="continuationSeparator" w:id="0">
    <w:p w:rsidR="00203F74" w:rsidRDefault="00143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DA5" w:rsidRDefault="00C14DA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A5"/>
    <w:rsid w:val="001051FD"/>
    <w:rsid w:val="0014380D"/>
    <w:rsid w:val="00203F74"/>
    <w:rsid w:val="00576396"/>
    <w:rsid w:val="006052F2"/>
    <w:rsid w:val="00722C86"/>
    <w:rsid w:val="00BF7D88"/>
    <w:rsid w:val="00C1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E2DC5-026A-4B43-A518-68D1CC64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Elise Koc</cp:lastModifiedBy>
  <cp:revision>6</cp:revision>
  <dcterms:created xsi:type="dcterms:W3CDTF">2018-12-04T10:22:00Z</dcterms:created>
  <dcterms:modified xsi:type="dcterms:W3CDTF">2018-12-04T10:50:00Z</dcterms:modified>
</cp:coreProperties>
</file>