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B8" w:rsidRDefault="0076499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91FB8" w:rsidRDefault="0076499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391FB8" w:rsidRDefault="00391FB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391FB8" w:rsidRDefault="00AE7CC5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02</w:t>
      </w:r>
      <w:r w:rsidR="00764998">
        <w:rPr>
          <w:rFonts w:ascii="Arial" w:hAnsi="Arial"/>
          <w:sz w:val="24"/>
          <w:szCs w:val="24"/>
        </w:rPr>
        <w:t xml:space="preserve"> Temmuz 2019</w:t>
      </w:r>
    </w:p>
    <w:p w:rsidR="00391FB8" w:rsidRDefault="00391FB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391FB8" w:rsidRDefault="0076499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Duvarda a</w:t>
      </w:r>
      <w:r>
        <w:rPr>
          <w:rFonts w:ascii="Arial" w:hAnsi="Arial"/>
          <w:b/>
          <w:bCs/>
          <w:sz w:val="48"/>
          <w:szCs w:val="48"/>
        </w:rPr>
        <w:t>ç</w:t>
      </w:r>
      <w:r>
        <w:rPr>
          <w:rFonts w:ascii="Arial" w:hAnsi="Arial"/>
          <w:b/>
          <w:bCs/>
          <w:sz w:val="48"/>
          <w:szCs w:val="48"/>
        </w:rPr>
        <w:t xml:space="preserve">an </w:t>
      </w:r>
      <w:r>
        <w:rPr>
          <w:rFonts w:ascii="Arial" w:hAnsi="Arial"/>
          <w:b/>
          <w:bCs/>
          <w:sz w:val="48"/>
          <w:szCs w:val="48"/>
        </w:rPr>
        <w:t>ç</w:t>
      </w:r>
      <w:r>
        <w:rPr>
          <w:rFonts w:ascii="Arial" w:hAnsi="Arial"/>
          <w:b/>
          <w:bCs/>
          <w:sz w:val="48"/>
          <w:szCs w:val="48"/>
        </w:rPr>
        <w:t>i</w:t>
      </w:r>
      <w:r>
        <w:rPr>
          <w:rFonts w:ascii="Arial" w:hAnsi="Arial"/>
          <w:b/>
          <w:bCs/>
          <w:sz w:val="48"/>
          <w:szCs w:val="48"/>
        </w:rPr>
        <w:t>ç</w:t>
      </w:r>
      <w:r>
        <w:rPr>
          <w:rFonts w:ascii="Arial" w:hAnsi="Arial"/>
          <w:b/>
          <w:bCs/>
          <w:sz w:val="48"/>
          <w:szCs w:val="48"/>
        </w:rPr>
        <w:t>ekler</w:t>
      </w:r>
    </w:p>
    <w:p w:rsidR="00391FB8" w:rsidRDefault="00391FB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</w:p>
    <w:p w:rsidR="00391FB8" w:rsidRDefault="0076499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5756784" cy="4070047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4070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391FB8" w:rsidRDefault="00391FB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</w:p>
    <w:p w:rsidR="00391FB8" w:rsidRDefault="00764998" w:rsidP="00AE7CC5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Villeroy&amp;Boch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</w:t>
      </w:r>
      <w:proofErr w:type="spellEnd"/>
      <w:r>
        <w:rPr>
          <w:rFonts w:ascii="Arial" w:hAnsi="Arial"/>
          <w:sz w:val="24"/>
          <w:szCs w:val="24"/>
        </w:rPr>
        <w:t xml:space="preserve"> en yeni karo serilerinden </w:t>
      </w:r>
      <w:proofErr w:type="spellStart"/>
      <w:r>
        <w:rPr>
          <w:rFonts w:ascii="Arial" w:hAnsi="Arial"/>
          <w:sz w:val="24"/>
          <w:szCs w:val="24"/>
        </w:rPr>
        <w:t>Jardin</w:t>
      </w:r>
      <w:proofErr w:type="spellEnd"/>
      <w:r>
        <w:rPr>
          <w:rFonts w:ascii="Arial" w:hAnsi="Arial"/>
          <w:sz w:val="24"/>
          <w:szCs w:val="24"/>
        </w:rPr>
        <w:t xml:space="preserve">, heykelsi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ek formlar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ndan esinleniyor. Karo 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zeylerine ta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 xml:space="preserve">nan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ek 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lyefleri, </w:t>
      </w:r>
      <w:proofErr w:type="spellStart"/>
      <w:r>
        <w:rPr>
          <w:rFonts w:ascii="Arial" w:hAnsi="Arial"/>
          <w:sz w:val="24"/>
          <w:szCs w:val="24"/>
        </w:rPr>
        <w:t>buzeri</w:t>
      </w:r>
      <w:proofErr w:type="spellEnd"/>
      <w:r>
        <w:rPr>
          <w:rFonts w:ascii="Arial" w:hAnsi="Arial"/>
          <w:sz w:val="24"/>
          <w:szCs w:val="24"/>
        </w:rPr>
        <w:t xml:space="preserve"> dekorlarla bir araya geldi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inde, tarihi k</w:t>
      </w:r>
      <w:r>
        <w:rPr>
          <w:rFonts w:ascii="Arial" w:hAnsi="Arial"/>
          <w:sz w:val="24"/>
          <w:szCs w:val="24"/>
        </w:rPr>
        <w:t>öş</w:t>
      </w:r>
      <w:r>
        <w:rPr>
          <w:rFonts w:ascii="Arial" w:hAnsi="Arial"/>
          <w:sz w:val="24"/>
          <w:szCs w:val="24"/>
        </w:rPr>
        <w:t xml:space="preserve">klerin </w:t>
      </w:r>
      <w:r>
        <w:rPr>
          <w:rFonts w:ascii="Arial" w:hAnsi="Arial"/>
          <w:sz w:val="24"/>
          <w:szCs w:val="24"/>
        </w:rPr>
        <w:t>dokusunun modern bir yorumunu sunuyor. 40x120 cm ebad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ndaki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ekli dekorlar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 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lyefli 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zeyleri, karolarda do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al bir g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lge etkisi yarat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yor. Alt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n </w:t>
      </w:r>
      <w:proofErr w:type="gramStart"/>
      <w:r>
        <w:rPr>
          <w:rFonts w:ascii="Arial" w:hAnsi="Arial"/>
          <w:sz w:val="24"/>
          <w:szCs w:val="24"/>
        </w:rPr>
        <w:t>efektli</w:t>
      </w:r>
      <w:proofErr w:type="gramEnd"/>
      <w:r>
        <w:rPr>
          <w:rFonts w:ascii="Arial" w:hAnsi="Arial"/>
          <w:sz w:val="24"/>
          <w:szCs w:val="24"/>
        </w:rPr>
        <w:t xml:space="preserve"> alternatifleri de bulunan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ekli dekorlarla ayn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 xml:space="preserve">ebatta sunulan </w:t>
      </w:r>
      <w:proofErr w:type="spellStart"/>
      <w:r>
        <w:rPr>
          <w:rFonts w:ascii="Arial" w:hAnsi="Arial"/>
          <w:sz w:val="24"/>
          <w:szCs w:val="24"/>
        </w:rPr>
        <w:t>buzeri</w:t>
      </w:r>
      <w:proofErr w:type="spellEnd"/>
      <w:r>
        <w:rPr>
          <w:rFonts w:ascii="Arial" w:hAnsi="Arial"/>
          <w:sz w:val="24"/>
          <w:szCs w:val="24"/>
        </w:rPr>
        <w:t xml:space="preserve"> dekorlar ise oyma bezemeli </w:t>
      </w:r>
      <w:r>
        <w:rPr>
          <w:rFonts w:ascii="Arial" w:hAnsi="Arial"/>
          <w:sz w:val="24"/>
          <w:szCs w:val="24"/>
        </w:rPr>
        <w:t>ah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ap g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ü </w:t>
      </w:r>
      <w:r>
        <w:rPr>
          <w:rFonts w:ascii="Arial" w:hAnsi="Arial"/>
          <w:sz w:val="24"/>
          <w:szCs w:val="24"/>
        </w:rPr>
        <w:t>veriyor.</w:t>
      </w:r>
    </w:p>
    <w:p w:rsidR="00391FB8" w:rsidRDefault="00391FB8" w:rsidP="00AE7CC5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</w:rPr>
      </w:pPr>
    </w:p>
    <w:p w:rsidR="00391FB8" w:rsidRDefault="00764998" w:rsidP="00AE7CC5">
      <w:pPr>
        <w:pStyle w:val="Header"/>
        <w:tabs>
          <w:tab w:val="clear" w:pos="9072"/>
          <w:tab w:val="right" w:pos="9046"/>
        </w:tabs>
        <w:jc w:val="both"/>
      </w:pPr>
      <w:r>
        <w:rPr>
          <w:rFonts w:ascii="Arial" w:hAnsi="Arial"/>
          <w:sz w:val="24"/>
          <w:szCs w:val="24"/>
        </w:rPr>
        <w:t>Klasik oldu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 xml:space="preserve">u kadar zamana meydan okuyan </w:t>
      </w:r>
      <w:proofErr w:type="gramStart"/>
      <w:r>
        <w:rPr>
          <w:rFonts w:ascii="Arial" w:hAnsi="Arial"/>
          <w:sz w:val="24"/>
          <w:szCs w:val="24"/>
        </w:rPr>
        <w:t>mekanlar</w:t>
      </w:r>
      <w:proofErr w:type="gramEnd"/>
      <w:r>
        <w:rPr>
          <w:rFonts w:ascii="Arial" w:hAnsi="Arial"/>
          <w:sz w:val="24"/>
          <w:szCs w:val="24"/>
        </w:rPr>
        <w:t xml:space="preserve"> yaratan </w:t>
      </w:r>
      <w:proofErr w:type="spellStart"/>
      <w:r>
        <w:rPr>
          <w:rFonts w:ascii="Arial" w:hAnsi="Arial"/>
          <w:sz w:val="24"/>
          <w:szCs w:val="24"/>
        </w:rPr>
        <w:t>Villeroy</w:t>
      </w:r>
      <w:proofErr w:type="spellEnd"/>
      <w:r>
        <w:rPr>
          <w:rFonts w:ascii="Arial" w:hAnsi="Arial"/>
          <w:sz w:val="24"/>
          <w:szCs w:val="24"/>
        </w:rPr>
        <w:t xml:space="preserve"> &amp; </w:t>
      </w:r>
      <w:proofErr w:type="spellStart"/>
      <w:r>
        <w:rPr>
          <w:rFonts w:ascii="Arial" w:hAnsi="Arial"/>
          <w:sz w:val="24"/>
          <w:szCs w:val="24"/>
        </w:rPr>
        <w:t>Boch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Jardin</w:t>
      </w:r>
      <w:proofErr w:type="spellEnd"/>
      <w:r>
        <w:rPr>
          <w:rFonts w:ascii="Arial" w:hAnsi="Arial"/>
          <w:sz w:val="24"/>
          <w:szCs w:val="24"/>
        </w:rPr>
        <w:t xml:space="preserve"> serisindeki karolar, boyanm</w:t>
      </w:r>
      <w:r>
        <w:rPr>
          <w:rFonts w:ascii="Arial" w:hAnsi="Arial"/>
          <w:sz w:val="24"/>
          <w:szCs w:val="24"/>
        </w:rPr>
        <w:t xml:space="preserve">ış </w:t>
      </w:r>
      <w:r>
        <w:rPr>
          <w:rFonts w:ascii="Arial" w:hAnsi="Arial"/>
          <w:sz w:val="24"/>
          <w:szCs w:val="24"/>
        </w:rPr>
        <w:t>br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t beton g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ml</w:t>
      </w:r>
      <w:r>
        <w:rPr>
          <w:rFonts w:ascii="Arial" w:hAnsi="Arial"/>
          <w:sz w:val="24"/>
          <w:szCs w:val="24"/>
        </w:rPr>
        <w:t xml:space="preserve">ü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zeyleriyle, mekan tasar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na yeni bir yakla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>m getiriyor. Dalgal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zeyler f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 xml:space="preserve">a </w:t>
      </w:r>
      <w:proofErr w:type="gramStart"/>
      <w:r>
        <w:rPr>
          <w:rFonts w:ascii="Arial" w:hAnsi="Arial"/>
          <w:sz w:val="24"/>
          <w:szCs w:val="24"/>
        </w:rPr>
        <w:t>efekti</w:t>
      </w:r>
      <w:proofErr w:type="gramEnd"/>
      <w:r>
        <w:rPr>
          <w:rFonts w:ascii="Arial" w:hAnsi="Arial"/>
          <w:sz w:val="24"/>
          <w:szCs w:val="24"/>
        </w:rPr>
        <w:t xml:space="preserve"> olu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turar</w:t>
      </w:r>
      <w:r>
        <w:rPr>
          <w:rFonts w:ascii="Arial" w:hAnsi="Arial"/>
          <w:sz w:val="24"/>
          <w:szCs w:val="24"/>
        </w:rPr>
        <w:t>ak, duvarlar sonradan boyanm</w:t>
      </w:r>
      <w:r>
        <w:rPr>
          <w:rFonts w:ascii="Arial" w:hAnsi="Arial"/>
          <w:sz w:val="24"/>
          <w:szCs w:val="24"/>
        </w:rPr>
        <w:t xml:space="preserve">ış </w:t>
      </w:r>
      <w:r>
        <w:rPr>
          <w:rFonts w:ascii="Arial" w:hAnsi="Arial"/>
          <w:sz w:val="24"/>
          <w:szCs w:val="24"/>
        </w:rPr>
        <w:t>hissi yarat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yor. Gri ve beyaz tonlar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n </w:t>
      </w:r>
      <w:proofErr w:type="gramStart"/>
      <w:r>
        <w:rPr>
          <w:rFonts w:ascii="Arial" w:hAnsi="Arial"/>
          <w:sz w:val="24"/>
          <w:szCs w:val="24"/>
        </w:rPr>
        <w:t>hakim</w:t>
      </w:r>
      <w:proofErr w:type="gramEnd"/>
      <w:r>
        <w:rPr>
          <w:rFonts w:ascii="Arial" w:hAnsi="Arial"/>
          <w:sz w:val="24"/>
          <w:szCs w:val="24"/>
        </w:rPr>
        <w:t xml:space="preserve"> oldu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u seri, alt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 renkli metal bord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rlerle tamamlan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yor. </w:t>
      </w:r>
      <w:proofErr w:type="gramStart"/>
      <w:r>
        <w:rPr>
          <w:rFonts w:ascii="Arial" w:hAnsi="Arial"/>
          <w:sz w:val="24"/>
          <w:szCs w:val="24"/>
        </w:rPr>
        <w:t>Mekan</w:t>
      </w:r>
      <w:r>
        <w:rPr>
          <w:rFonts w:ascii="Arial" w:hAnsi="Arial"/>
          <w:sz w:val="24"/>
          <w:szCs w:val="24"/>
        </w:rPr>
        <w:t>ı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asille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tiren</w:t>
      </w:r>
      <w:proofErr w:type="spellEnd"/>
      <w:r>
        <w:rPr>
          <w:rFonts w:ascii="Arial" w:hAnsi="Arial"/>
          <w:sz w:val="24"/>
          <w:szCs w:val="24"/>
        </w:rPr>
        <w:t xml:space="preserve"> gri karolar ise do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 gece halini duvarlara ta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>yor.</w:t>
      </w:r>
    </w:p>
    <w:sectPr w:rsidR="00391FB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98" w:rsidRDefault="00764998">
      <w:r>
        <w:separator/>
      </w:r>
    </w:p>
  </w:endnote>
  <w:endnote w:type="continuationSeparator" w:id="0">
    <w:p w:rsidR="00764998" w:rsidRDefault="0076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B8" w:rsidRDefault="00764998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391FB8" w:rsidRDefault="00764998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391FB8" w:rsidRDefault="00764998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98" w:rsidRDefault="00764998">
      <w:r>
        <w:separator/>
      </w:r>
    </w:p>
  </w:footnote>
  <w:footnote w:type="continuationSeparator" w:id="0">
    <w:p w:rsidR="00764998" w:rsidRDefault="0076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B8" w:rsidRDefault="00391F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B8"/>
    <w:rsid w:val="00391FB8"/>
    <w:rsid w:val="00764998"/>
    <w:rsid w:val="00A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10C47-F1B2-4AE2-940A-1ABB3FFC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2</cp:revision>
  <dcterms:created xsi:type="dcterms:W3CDTF">2019-07-02T09:44:00Z</dcterms:created>
  <dcterms:modified xsi:type="dcterms:W3CDTF">2019-07-02T09:44:00Z</dcterms:modified>
</cp:coreProperties>
</file>