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2F" w:rsidRDefault="00AC2A7D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Calibri" w:hAnsi="Arial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0172F" w:rsidRDefault="00AC2A7D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Bas</w:t>
      </w: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ı</w:t>
      </w:r>
      <w:r>
        <w:rPr>
          <w:rFonts w:ascii="Arial" w:eastAsia="Calibri" w:hAnsi="Arial" w:cs="Calibri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ü</w:t>
      </w:r>
      <w:r>
        <w:rPr>
          <w:rFonts w:ascii="Arial" w:eastAsia="Calibri" w:hAnsi="Arial" w:cs="Calibri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  <w:u w:color="000000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0172F" w:rsidRDefault="0010172F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28"/>
          <w:szCs w:val="28"/>
          <w:u w:color="000000"/>
        </w:rPr>
      </w:pPr>
    </w:p>
    <w:p w:rsidR="0010172F" w:rsidRDefault="00075C72">
      <w:pPr>
        <w:pStyle w:val="Default"/>
        <w:tabs>
          <w:tab w:val="center" w:pos="4536"/>
          <w:tab w:val="right" w:pos="9046"/>
          <w:tab w:val="left" w:pos="9204"/>
        </w:tabs>
        <w:jc w:val="righ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libri" w:hAnsi="Arial" w:cs="Calibri"/>
          <w:sz w:val="24"/>
          <w:szCs w:val="24"/>
          <w:u w:color="000000"/>
        </w:rPr>
        <w:t>20</w:t>
      </w:r>
      <w:r w:rsidR="00AC2A7D">
        <w:rPr>
          <w:rFonts w:ascii="Arial" w:eastAsia="Calibri" w:hAnsi="Arial" w:cs="Calibri"/>
          <w:sz w:val="24"/>
          <w:szCs w:val="24"/>
          <w:u w:color="000000"/>
        </w:rPr>
        <w:t xml:space="preserve"> Mart 2020</w:t>
      </w:r>
    </w:p>
    <w:p w:rsidR="0010172F" w:rsidRDefault="0010172F">
      <w:pPr>
        <w:pStyle w:val="Default"/>
        <w:tabs>
          <w:tab w:val="center" w:pos="4536"/>
          <w:tab w:val="right" w:pos="9046"/>
          <w:tab w:val="left" w:pos="9204"/>
        </w:tabs>
        <w:rPr>
          <w:rFonts w:ascii="Arial" w:eastAsia="Arial" w:hAnsi="Arial" w:cs="Arial"/>
          <w:sz w:val="24"/>
          <w:szCs w:val="24"/>
          <w:u w:color="000000"/>
        </w:rPr>
      </w:pPr>
    </w:p>
    <w:p w:rsidR="0010172F" w:rsidRDefault="00AC2A7D">
      <w:pPr>
        <w:pStyle w:val="Body"/>
        <w:rPr>
          <w:rFonts w:ascii="Arial" w:eastAsia="Arial" w:hAnsi="Arial" w:cs="Arial"/>
          <w:sz w:val="46"/>
          <w:szCs w:val="46"/>
        </w:rPr>
      </w:pPr>
      <w:proofErr w:type="spellStart"/>
      <w:r>
        <w:rPr>
          <w:rFonts w:ascii="Arial" w:hAnsi="Arial"/>
          <w:sz w:val="46"/>
          <w:szCs w:val="46"/>
        </w:rPr>
        <w:t>Villeroy</w:t>
      </w:r>
      <w:proofErr w:type="spellEnd"/>
      <w:r>
        <w:rPr>
          <w:rFonts w:ascii="Arial" w:hAnsi="Arial"/>
          <w:sz w:val="46"/>
          <w:szCs w:val="46"/>
        </w:rPr>
        <w:t xml:space="preserve"> &amp; </w:t>
      </w:r>
      <w:proofErr w:type="spellStart"/>
      <w:r>
        <w:rPr>
          <w:rFonts w:ascii="Arial" w:hAnsi="Arial"/>
          <w:sz w:val="46"/>
          <w:szCs w:val="46"/>
        </w:rPr>
        <w:t>Boch</w:t>
      </w:r>
      <w:r>
        <w:rPr>
          <w:rFonts w:ascii="Arial" w:hAnsi="Arial"/>
          <w:sz w:val="46"/>
          <w:szCs w:val="46"/>
        </w:rPr>
        <w:t>’</w:t>
      </w:r>
      <w:r>
        <w:rPr>
          <w:rFonts w:ascii="Arial" w:hAnsi="Arial"/>
          <w:sz w:val="46"/>
          <w:szCs w:val="46"/>
        </w:rPr>
        <w:t>tan</w:t>
      </w:r>
      <w:proofErr w:type="spellEnd"/>
      <w:r>
        <w:rPr>
          <w:rFonts w:ascii="Arial" w:hAnsi="Arial"/>
          <w:sz w:val="46"/>
          <w:szCs w:val="46"/>
        </w:rPr>
        <w:t xml:space="preserve"> do</w:t>
      </w:r>
      <w:r>
        <w:rPr>
          <w:rFonts w:ascii="Arial" w:hAnsi="Arial"/>
          <w:sz w:val="46"/>
          <w:szCs w:val="46"/>
        </w:rPr>
        <w:t>ğ</w:t>
      </w:r>
      <w:r>
        <w:rPr>
          <w:rFonts w:ascii="Arial" w:hAnsi="Arial"/>
          <w:sz w:val="46"/>
          <w:szCs w:val="46"/>
        </w:rPr>
        <w:t>a dostu ah</w:t>
      </w:r>
      <w:r>
        <w:rPr>
          <w:rFonts w:ascii="Arial" w:hAnsi="Arial"/>
          <w:sz w:val="46"/>
          <w:szCs w:val="46"/>
        </w:rPr>
        <w:t>ş</w:t>
      </w:r>
      <w:r>
        <w:rPr>
          <w:rFonts w:ascii="Arial" w:hAnsi="Arial"/>
          <w:sz w:val="46"/>
          <w:szCs w:val="46"/>
        </w:rPr>
        <w:t>ap y</w:t>
      </w:r>
      <w:r>
        <w:rPr>
          <w:rFonts w:ascii="Arial" w:hAnsi="Arial"/>
          <w:sz w:val="46"/>
          <w:szCs w:val="46"/>
        </w:rPr>
        <w:t>ü</w:t>
      </w:r>
      <w:r>
        <w:rPr>
          <w:rFonts w:ascii="Arial" w:hAnsi="Arial"/>
          <w:sz w:val="46"/>
          <w:szCs w:val="46"/>
        </w:rPr>
        <w:t>zeyler</w:t>
      </w:r>
    </w:p>
    <w:p w:rsidR="0010172F" w:rsidRDefault="0010172F">
      <w:pPr>
        <w:pStyle w:val="Body"/>
        <w:rPr>
          <w:rFonts w:ascii="Arial" w:eastAsia="Arial" w:hAnsi="Arial" w:cs="Arial"/>
          <w:sz w:val="48"/>
          <w:szCs w:val="48"/>
        </w:rPr>
      </w:pPr>
    </w:p>
    <w:p w:rsidR="0010172F" w:rsidRDefault="00AC2A7D" w:rsidP="00075C72">
      <w:pPr>
        <w:pStyle w:val="Default"/>
        <w:jc w:val="center"/>
        <w:rPr>
          <w:rFonts w:ascii="Helvetica" w:eastAsia="Helvetica" w:hAnsi="Helvetica" w:cs="Helvetica"/>
          <w:color w:val="0A0A0A"/>
          <w:sz w:val="42"/>
          <w:szCs w:val="42"/>
        </w:rPr>
      </w:pPr>
      <w:bookmarkStart w:id="0" w:name="_GoBack"/>
      <w:r>
        <w:rPr>
          <w:rFonts w:ascii="Helvetica" w:eastAsia="Helvetica" w:hAnsi="Helvetica" w:cs="Helvetica"/>
          <w:noProof/>
          <w:color w:val="0A0A0A"/>
          <w:sz w:val="42"/>
          <w:szCs w:val="42"/>
        </w:rPr>
        <w:drawing>
          <wp:inline distT="0" distB="0" distL="0" distR="0">
            <wp:extent cx="4432300" cy="3200400"/>
            <wp:effectExtent l="0" t="0" r="635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20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10172F" w:rsidRDefault="0010172F">
      <w:pPr>
        <w:pStyle w:val="Body"/>
        <w:rPr>
          <w:rFonts w:ascii="Arial" w:eastAsia="Arial" w:hAnsi="Arial" w:cs="Arial"/>
          <w:sz w:val="48"/>
          <w:szCs w:val="48"/>
        </w:rPr>
      </w:pPr>
    </w:p>
    <w:p w:rsidR="0010172F" w:rsidRDefault="00AC2A7D">
      <w:pPr>
        <w:pStyle w:val="Defaul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Villeroy</w:t>
      </w:r>
      <w:proofErr w:type="spellEnd"/>
      <w:r>
        <w:rPr>
          <w:rFonts w:ascii="Arial" w:hAnsi="Arial"/>
          <w:sz w:val="24"/>
          <w:szCs w:val="24"/>
        </w:rPr>
        <w:t xml:space="preserve"> &amp; </w:t>
      </w:r>
      <w:proofErr w:type="spellStart"/>
      <w:r>
        <w:rPr>
          <w:rFonts w:ascii="Arial" w:hAnsi="Arial"/>
          <w:sz w:val="24"/>
          <w:szCs w:val="24"/>
        </w:rPr>
        <w:t>Boch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Tuxedo</w:t>
      </w:r>
      <w:proofErr w:type="spellEnd"/>
      <w:r>
        <w:rPr>
          <w:rFonts w:ascii="Arial" w:hAnsi="Arial"/>
          <w:sz w:val="24"/>
          <w:szCs w:val="24"/>
        </w:rPr>
        <w:t xml:space="preserve"> porselen karo koleksiyonu, giderek daha pop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ler olan ah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ap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ml</w:t>
      </w:r>
      <w:r>
        <w:rPr>
          <w:rFonts w:ascii="Arial" w:hAnsi="Arial"/>
          <w:sz w:val="24"/>
          <w:szCs w:val="24"/>
        </w:rPr>
        <w:t xml:space="preserve">ü </w:t>
      </w:r>
      <w:proofErr w:type="gramStart"/>
      <w:r>
        <w:rPr>
          <w:rFonts w:ascii="Arial" w:hAnsi="Arial"/>
          <w:sz w:val="24"/>
          <w:szCs w:val="24"/>
        </w:rPr>
        <w:t>trendini</w:t>
      </w:r>
      <w:proofErr w:type="gramEnd"/>
      <w:r>
        <w:rPr>
          <w:rFonts w:ascii="Arial" w:hAnsi="Arial"/>
          <w:sz w:val="24"/>
          <w:szCs w:val="24"/>
        </w:rPr>
        <w:t>, seramiklerin avantajlar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yla bulu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 xml:space="preserve">turuyor. </w:t>
      </w:r>
      <w:r>
        <w:rPr>
          <w:rFonts w:ascii="Arial" w:hAnsi="Arial"/>
          <w:sz w:val="24"/>
          <w:szCs w:val="24"/>
          <w:lang w:val="es-ES_tradnl"/>
        </w:rPr>
        <w:t>Ah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ap 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zeylerin </w:t>
      </w:r>
      <w:r>
        <w:rPr>
          <w:rFonts w:ascii="Arial" w:hAnsi="Arial"/>
          <w:sz w:val="24"/>
          <w:szCs w:val="24"/>
        </w:rPr>
        <w:t>desenlerini zemin ve duvarlara ta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yan koleksiyon, hem i</w:t>
      </w:r>
      <w:r>
        <w:rPr>
          <w:rFonts w:ascii="Arial" w:hAnsi="Arial"/>
          <w:sz w:val="24"/>
          <w:szCs w:val="24"/>
        </w:rPr>
        <w:t xml:space="preserve">ç </w:t>
      </w:r>
      <w:r>
        <w:rPr>
          <w:rFonts w:ascii="Arial" w:hAnsi="Arial"/>
          <w:sz w:val="24"/>
          <w:szCs w:val="24"/>
        </w:rPr>
        <w:t>hem de d</w:t>
      </w:r>
      <w:r>
        <w:rPr>
          <w:rFonts w:ascii="Arial" w:hAnsi="Arial"/>
          <w:sz w:val="24"/>
          <w:szCs w:val="24"/>
        </w:rPr>
        <w:t xml:space="preserve">ış </w:t>
      </w:r>
      <w:r>
        <w:rPr>
          <w:rFonts w:ascii="Arial" w:hAnsi="Arial"/>
          <w:sz w:val="24"/>
          <w:szCs w:val="24"/>
        </w:rPr>
        <w:t>mekanlarda kullan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labiliyor. Tasar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nl</w:t>
      </w:r>
      <w:r>
        <w:rPr>
          <w:rFonts w:ascii="Arial" w:hAnsi="Arial"/>
          <w:sz w:val="24"/>
          <w:szCs w:val="24"/>
        </w:rPr>
        <w:t xml:space="preserve">üğü </w:t>
      </w:r>
      <w:r>
        <w:rPr>
          <w:rFonts w:ascii="Arial" w:hAnsi="Arial"/>
          <w:sz w:val="24"/>
          <w:szCs w:val="24"/>
        </w:rPr>
        <w:t>sa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 xml:space="preserve">layan koleksiyonun </w:t>
      </w:r>
      <w:proofErr w:type="spellStart"/>
      <w:r>
        <w:rPr>
          <w:rFonts w:ascii="Arial" w:hAnsi="Arial"/>
          <w:sz w:val="24"/>
          <w:szCs w:val="24"/>
        </w:rPr>
        <w:t>kayd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rmazl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zelli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ine sahip mozaik karo dekorlar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, otantik </w:t>
      </w:r>
      <w:proofErr w:type="spellStart"/>
      <w:r>
        <w:rPr>
          <w:rFonts w:ascii="Arial" w:hAnsi="Arial"/>
          <w:sz w:val="24"/>
          <w:szCs w:val="24"/>
        </w:rPr>
        <w:t>ah</w:t>
      </w:r>
      <w:r>
        <w:rPr>
          <w:rFonts w:ascii="Arial" w:hAnsi="Arial"/>
          <w:sz w:val="24"/>
          <w:szCs w:val="24"/>
        </w:rPr>
        <w:t>ş</w:t>
      </w:r>
      <w:proofErr w:type="spellEnd"/>
      <w:r>
        <w:rPr>
          <w:rFonts w:ascii="Arial" w:hAnsi="Arial"/>
          <w:sz w:val="24"/>
          <w:szCs w:val="24"/>
          <w:lang w:val="nl-NL"/>
        </w:rPr>
        <w:t>ap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ü</w:t>
      </w:r>
      <w:proofErr w:type="spellEnd"/>
      <w:r>
        <w:rPr>
          <w:rFonts w:ascii="Arial" w:hAnsi="Arial"/>
          <w:sz w:val="24"/>
          <w:szCs w:val="24"/>
        </w:rPr>
        <w:t xml:space="preserve"> banyolara da g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venle ta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yor. Y</w:t>
      </w:r>
      <w:r>
        <w:rPr>
          <w:rFonts w:ascii="Arial" w:hAnsi="Arial"/>
          <w:sz w:val="24"/>
          <w:szCs w:val="24"/>
          <w:lang w:val="nl-NL"/>
        </w:rPr>
        <w:t xml:space="preserve">erden 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tm</w:t>
      </w:r>
      <w:r>
        <w:rPr>
          <w:rFonts w:ascii="Arial" w:hAnsi="Arial"/>
          <w:sz w:val="24"/>
          <w:szCs w:val="24"/>
        </w:rPr>
        <w:t>a yap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lmak istenen </w:t>
      </w:r>
      <w:proofErr w:type="gramStart"/>
      <w:r>
        <w:rPr>
          <w:rFonts w:ascii="Arial" w:hAnsi="Arial"/>
          <w:sz w:val="24"/>
          <w:szCs w:val="24"/>
        </w:rPr>
        <w:t>mekanlar</w:t>
      </w:r>
      <w:proofErr w:type="gramEnd"/>
      <w:r>
        <w:rPr>
          <w:rFonts w:ascii="Arial" w:hAnsi="Arial"/>
          <w:sz w:val="24"/>
          <w:szCs w:val="24"/>
        </w:rPr>
        <w:t xml:space="preserve"> 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in de ideal bir </w:t>
      </w:r>
      <w:r>
        <w:rPr>
          <w:rFonts w:ascii="Arial" w:hAnsi="Arial"/>
          <w:sz w:val="24"/>
          <w:szCs w:val="24"/>
        </w:rPr>
        <w:t>çö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m sunan </w:t>
      </w:r>
      <w:proofErr w:type="spellStart"/>
      <w:r>
        <w:rPr>
          <w:rFonts w:ascii="Arial" w:hAnsi="Arial"/>
          <w:sz w:val="24"/>
          <w:szCs w:val="24"/>
        </w:rPr>
        <w:t>Tuxedo</w:t>
      </w:r>
      <w:proofErr w:type="spellEnd"/>
      <w:r>
        <w:rPr>
          <w:rFonts w:ascii="Arial" w:hAnsi="Arial"/>
          <w:sz w:val="24"/>
          <w:szCs w:val="24"/>
        </w:rPr>
        <w:t>, enerjiden tasarruf edilmesine destek oluyor.</w:t>
      </w:r>
    </w:p>
    <w:p w:rsidR="0010172F" w:rsidRDefault="0010172F">
      <w:pPr>
        <w:pStyle w:val="Default"/>
        <w:rPr>
          <w:rFonts w:ascii="Arial" w:eastAsia="Arial" w:hAnsi="Arial" w:cs="Arial"/>
          <w:sz w:val="24"/>
          <w:szCs w:val="24"/>
        </w:rPr>
      </w:pPr>
    </w:p>
    <w:p w:rsidR="0010172F" w:rsidRDefault="00AC2A7D">
      <w:pPr>
        <w:pStyle w:val="Default"/>
      </w:pPr>
      <w:proofErr w:type="spellStart"/>
      <w:r>
        <w:rPr>
          <w:rFonts w:ascii="Arial" w:hAnsi="Arial"/>
          <w:sz w:val="24"/>
          <w:szCs w:val="24"/>
        </w:rPr>
        <w:t>Tuxedo</w:t>
      </w:r>
      <w:proofErr w:type="spellEnd"/>
      <w:r>
        <w:rPr>
          <w:rFonts w:ascii="Arial" w:hAnsi="Arial"/>
          <w:sz w:val="24"/>
          <w:szCs w:val="24"/>
        </w:rPr>
        <w:t xml:space="preserve"> koleksiyonu, parkeler 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en-US"/>
        </w:rPr>
        <w:t>in al</w:t>
      </w:r>
      <w:r>
        <w:rPr>
          <w:rFonts w:ascii="Arial" w:hAnsi="Arial"/>
          <w:sz w:val="24"/>
          <w:szCs w:val="24"/>
        </w:rPr>
        <w:t>ışı</w:t>
      </w:r>
      <w:r>
        <w:rPr>
          <w:rFonts w:ascii="Arial" w:hAnsi="Arial"/>
          <w:sz w:val="24"/>
          <w:szCs w:val="24"/>
        </w:rPr>
        <w:t>lm</w:t>
      </w:r>
      <w:r>
        <w:rPr>
          <w:rFonts w:ascii="Arial" w:hAnsi="Arial"/>
          <w:sz w:val="24"/>
          <w:szCs w:val="24"/>
        </w:rPr>
        <w:t xml:space="preserve">ış </w:t>
      </w:r>
      <w:r>
        <w:rPr>
          <w:rFonts w:ascii="Arial" w:hAnsi="Arial"/>
          <w:sz w:val="24"/>
          <w:szCs w:val="24"/>
        </w:rPr>
        <w:t>olan 20x120 cm ve 30x120 cm boyutlar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nda alt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 xml:space="preserve">uyumlu ve </w:t>
      </w:r>
      <w:proofErr w:type="spellStart"/>
      <w:r>
        <w:rPr>
          <w:rFonts w:ascii="Arial" w:hAnsi="Arial"/>
          <w:sz w:val="24"/>
          <w:szCs w:val="24"/>
        </w:rPr>
        <w:t>kombinlenebilir</w:t>
      </w:r>
      <w:proofErr w:type="spellEnd"/>
      <w:r>
        <w:rPr>
          <w:rFonts w:ascii="Arial" w:hAnsi="Arial"/>
          <w:sz w:val="24"/>
          <w:szCs w:val="24"/>
        </w:rPr>
        <w:t xml:space="preserve"> renk se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it-IT"/>
        </w:rPr>
        <w:t>ece</w:t>
      </w:r>
      <w:proofErr w:type="spellStart"/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sunuyor. Farkl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parke d</w:t>
      </w:r>
      <w:r>
        <w:rPr>
          <w:rFonts w:ascii="Arial" w:hAnsi="Arial"/>
          <w:sz w:val="24"/>
          <w:szCs w:val="24"/>
        </w:rPr>
        <w:t>öş</w:t>
      </w:r>
      <w:r>
        <w:rPr>
          <w:rFonts w:ascii="Arial" w:hAnsi="Arial"/>
          <w:sz w:val="24"/>
          <w:szCs w:val="24"/>
        </w:rPr>
        <w:t>eme tarzlar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yans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tan dekorlar ise istendi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inde tek ba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na da kullan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labiliyor. Koleksiyonun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ok 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ksek 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cakl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klarda pi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 xml:space="preserve">irilen 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vilbostone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porselen karolar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nm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yor, her zaman ilk g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nk</w:t>
      </w:r>
      <w:r>
        <w:rPr>
          <w:rFonts w:ascii="Arial" w:hAnsi="Arial"/>
          <w:sz w:val="24"/>
          <w:szCs w:val="24"/>
        </w:rPr>
        <w:t xml:space="preserve">ü </w:t>
      </w:r>
      <w:r>
        <w:rPr>
          <w:rFonts w:ascii="Arial" w:hAnsi="Arial"/>
          <w:sz w:val="24"/>
          <w:szCs w:val="24"/>
        </w:rPr>
        <w:t xml:space="preserve">renk ve formunu koruyor.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ok so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uk havalara hatta donma</w:t>
      </w:r>
      <w:r>
        <w:rPr>
          <w:rFonts w:ascii="Arial" w:hAnsi="Arial"/>
          <w:sz w:val="24"/>
          <w:szCs w:val="24"/>
        </w:rPr>
        <w:t>ya kar</w:t>
      </w:r>
      <w:r>
        <w:rPr>
          <w:rFonts w:ascii="Arial" w:hAnsi="Arial"/>
          <w:sz w:val="24"/>
          <w:szCs w:val="24"/>
        </w:rPr>
        <w:t xml:space="preserve">şı </w:t>
      </w:r>
      <w:r>
        <w:rPr>
          <w:rFonts w:ascii="Arial" w:hAnsi="Arial"/>
          <w:sz w:val="24"/>
          <w:szCs w:val="24"/>
        </w:rPr>
        <w:t>dayan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kl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oldu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u 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in, d</w:t>
      </w:r>
      <w:r>
        <w:rPr>
          <w:rFonts w:ascii="Arial" w:hAnsi="Arial"/>
          <w:sz w:val="24"/>
          <w:szCs w:val="24"/>
        </w:rPr>
        <w:t xml:space="preserve">ış </w:t>
      </w:r>
      <w:proofErr w:type="gramStart"/>
      <w:r>
        <w:rPr>
          <w:rFonts w:ascii="Arial" w:hAnsi="Arial"/>
          <w:sz w:val="24"/>
          <w:szCs w:val="24"/>
        </w:rPr>
        <w:t>mekanlarda</w:t>
      </w:r>
      <w:proofErr w:type="gramEnd"/>
      <w:r>
        <w:rPr>
          <w:rFonts w:ascii="Arial" w:hAnsi="Arial"/>
          <w:sz w:val="24"/>
          <w:szCs w:val="24"/>
        </w:rPr>
        <w:t xml:space="preserve"> da tercih edilebiliyor. Do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al ah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ap 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zeylere g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 temizlik kimyasallar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na kar</w:t>
      </w:r>
      <w:r>
        <w:rPr>
          <w:rFonts w:ascii="Arial" w:hAnsi="Arial"/>
          <w:sz w:val="24"/>
          <w:szCs w:val="24"/>
        </w:rPr>
        <w:t xml:space="preserve">şı </w:t>
      </w:r>
      <w:r>
        <w:rPr>
          <w:rFonts w:ascii="Arial" w:hAnsi="Arial"/>
          <w:sz w:val="24"/>
          <w:szCs w:val="24"/>
        </w:rPr>
        <w:t>daha dayan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kl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olan karolar, toz tutmuyor ve kolayca temizleniyor.</w:t>
      </w:r>
    </w:p>
    <w:sectPr w:rsidR="0010172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7D" w:rsidRDefault="00AC2A7D">
      <w:r>
        <w:separator/>
      </w:r>
    </w:p>
  </w:endnote>
  <w:endnote w:type="continuationSeparator" w:id="0">
    <w:p w:rsidR="00AC2A7D" w:rsidRDefault="00AC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2F" w:rsidRDefault="00101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7D" w:rsidRDefault="00AC2A7D">
      <w:r>
        <w:separator/>
      </w:r>
    </w:p>
  </w:footnote>
  <w:footnote w:type="continuationSeparator" w:id="0">
    <w:p w:rsidR="00AC2A7D" w:rsidRDefault="00AC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2F" w:rsidRDefault="001017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2F"/>
    <w:rsid w:val="00075C72"/>
    <w:rsid w:val="0010172F"/>
    <w:rsid w:val="00A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B885-1252-4281-B847-2532420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2020-03-20T08:35:00Z</dcterms:created>
  <dcterms:modified xsi:type="dcterms:W3CDTF">2020-03-20T08:41:00Z</dcterms:modified>
</cp:coreProperties>
</file>